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1" w:rsidRPr="00B32DD1" w:rsidRDefault="00B32DD1" w:rsidP="00B32DD1">
      <w:pPr>
        <w:jc w:val="center"/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</w:pPr>
      <w:bookmarkStart w:id="0" w:name="OLE_LINK1"/>
      <w:r w:rsidRPr="00B32DD1"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>中</w:t>
      </w:r>
      <w:r w:rsidRPr="00B32DD1">
        <w:rPr>
          <w:rFonts w:ascii="华文中宋" w:eastAsia="华文中宋" w:hAnsi="华文中宋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 xml:space="preserve"> </w:t>
      </w:r>
      <w:r w:rsidRPr="00B32DD1"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>国</w:t>
      </w:r>
      <w:r w:rsidRPr="00B32DD1">
        <w:rPr>
          <w:rFonts w:ascii="华文中宋" w:eastAsia="华文中宋" w:hAnsi="华文中宋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 xml:space="preserve"> </w:t>
      </w:r>
      <w:proofErr w:type="gramStart"/>
      <w:r w:rsidRPr="00B32DD1"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>医</w:t>
      </w:r>
      <w:proofErr w:type="gramEnd"/>
      <w:r w:rsidRPr="00B32DD1">
        <w:rPr>
          <w:rFonts w:ascii="华文中宋" w:eastAsia="华文中宋" w:hAnsi="华文中宋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 xml:space="preserve"> </w:t>
      </w:r>
      <w:r w:rsidRPr="00B32DD1"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>药</w:t>
      </w:r>
      <w:r w:rsidRPr="00B32DD1">
        <w:rPr>
          <w:rFonts w:ascii="华文中宋" w:eastAsia="华文中宋" w:hAnsi="华文中宋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 xml:space="preserve"> </w:t>
      </w:r>
      <w:r w:rsidRPr="00B32DD1"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>创</w:t>
      </w:r>
      <w:r w:rsidRPr="00B32DD1">
        <w:rPr>
          <w:rFonts w:ascii="华文中宋" w:eastAsia="华文中宋" w:hAnsi="华文中宋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 xml:space="preserve"> </w:t>
      </w:r>
      <w:r w:rsidRPr="00B32DD1"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>新</w:t>
      </w:r>
      <w:r w:rsidRPr="00B32DD1">
        <w:rPr>
          <w:rFonts w:ascii="华文中宋" w:eastAsia="华文中宋" w:hAnsi="华文中宋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 xml:space="preserve"> </w:t>
      </w:r>
      <w:r w:rsidRPr="00B32DD1"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>促</w:t>
      </w:r>
      <w:r w:rsidRPr="00B32DD1">
        <w:rPr>
          <w:rFonts w:ascii="华文中宋" w:eastAsia="华文中宋" w:hAnsi="华文中宋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 xml:space="preserve"> </w:t>
      </w:r>
      <w:r w:rsidRPr="00B32DD1"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>进</w:t>
      </w:r>
      <w:r w:rsidRPr="00B32DD1">
        <w:rPr>
          <w:rFonts w:ascii="华文中宋" w:eastAsia="华文中宋" w:hAnsi="华文中宋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 xml:space="preserve"> </w:t>
      </w:r>
      <w:r w:rsidRPr="00B32DD1">
        <w:rPr>
          <w:rFonts w:ascii="Times New Roman" w:eastAsia="华文中宋" w:hAnsi="Times New Roman" w:cs="Times New Roman"/>
          <w:b/>
          <w:bCs/>
          <w:color w:val="FF0000"/>
          <w:spacing w:val="-20"/>
          <w:w w:val="66"/>
          <w:kern w:val="0"/>
          <w:sz w:val="96"/>
          <w:szCs w:val="96"/>
        </w:rPr>
        <w:t>会</w:t>
      </w:r>
    </w:p>
    <w:p w:rsidR="00B32DD1" w:rsidRDefault="00B32DD1" w:rsidP="00B32DD1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D6055E" w:rsidRPr="00F715DB" w:rsidRDefault="00D6055E" w:rsidP="00B32DD1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B32DD1" w:rsidRPr="00C80315" w:rsidRDefault="00B32DD1" w:rsidP="00B32DD1">
      <w:pPr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proofErr w:type="gramStart"/>
      <w:r w:rsidRPr="00C80315">
        <w:rPr>
          <w:rFonts w:ascii="Times New Roman" w:eastAsia="仿宋" w:hAnsi="Times New Roman" w:cs="Times New Roman"/>
          <w:sz w:val="32"/>
          <w:szCs w:val="32"/>
        </w:rPr>
        <w:t>药促字</w:t>
      </w:r>
      <w:proofErr w:type="gramEnd"/>
      <w:r w:rsidRPr="00C80315">
        <w:rPr>
          <w:rFonts w:ascii="Times New Roman" w:eastAsia="仿宋" w:hAnsi="Times New Roman" w:cs="Times New Roman"/>
          <w:sz w:val="32"/>
          <w:szCs w:val="32"/>
        </w:rPr>
        <w:t>（</w:t>
      </w:r>
      <w:r w:rsidR="00E4148F">
        <w:rPr>
          <w:rFonts w:ascii="Times New Roman" w:eastAsia="仿宋" w:hAnsi="Times New Roman" w:cs="Times New Roman"/>
          <w:sz w:val="32"/>
          <w:szCs w:val="32"/>
        </w:rPr>
        <w:t>2018</w:t>
      </w:r>
      <w:r w:rsidRPr="00C80315">
        <w:rPr>
          <w:rFonts w:ascii="Times New Roman" w:eastAsia="仿宋" w:hAnsi="Times New Roman" w:cs="Times New Roman"/>
          <w:sz w:val="32"/>
          <w:szCs w:val="32"/>
        </w:rPr>
        <w:t>）</w:t>
      </w:r>
      <w:r w:rsidR="00F715DB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C80315">
        <w:rPr>
          <w:rFonts w:ascii="Times New Roman" w:eastAsia="仿宋" w:hAnsi="Times New Roman" w:cs="Times New Roman"/>
          <w:sz w:val="32"/>
          <w:szCs w:val="32"/>
        </w:rPr>
        <w:t>号</w:t>
      </w:r>
    </w:p>
    <w:p w:rsidR="00B32DD1" w:rsidRPr="00B32DD1" w:rsidRDefault="00750AFC" w:rsidP="00B32DD1">
      <w:pPr>
        <w:spacing w:line="360" w:lineRule="auto"/>
        <w:rPr>
          <w:rFonts w:ascii="Times New Roman" w:hAnsi="Times New Roman" w:cs="Times New Roman"/>
          <w:b/>
          <w:bCs/>
          <w:color w:val="FF0000"/>
          <w:kern w:val="0"/>
          <w:sz w:val="4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pict>
          <v:rect id="_x0000_i1025" style="width:417.85pt;height:3.25pt" o:hrpct="0" o:hralign="center" o:hrstd="t" o:hrnoshade="t" o:hr="t" fillcolor="red" stroked="f"/>
        </w:pict>
      </w:r>
      <w:bookmarkEnd w:id="0"/>
    </w:p>
    <w:p w:rsidR="00F715DB" w:rsidRPr="00F715DB" w:rsidRDefault="00F715DB" w:rsidP="00DF16C4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FB553C" w:rsidRDefault="00FB553C" w:rsidP="00DF16C4">
      <w:pPr>
        <w:widowControl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580D27">
        <w:rPr>
          <w:rFonts w:ascii="Times New Roman" w:hAnsi="Times New Roman" w:cs="Times New Roman"/>
          <w:b/>
          <w:kern w:val="0"/>
          <w:sz w:val="44"/>
          <w:szCs w:val="44"/>
        </w:rPr>
        <w:t>关于</w:t>
      </w:r>
      <w:r w:rsidR="00580D27" w:rsidRPr="00580D27">
        <w:rPr>
          <w:rFonts w:ascii="Times New Roman" w:hAnsi="Times New Roman" w:cs="Times New Roman"/>
          <w:b/>
          <w:kern w:val="0"/>
          <w:sz w:val="44"/>
          <w:szCs w:val="44"/>
        </w:rPr>
        <w:t>举办</w:t>
      </w:r>
      <w:r w:rsidR="00580D27" w:rsidRPr="00580D27">
        <w:rPr>
          <w:rFonts w:ascii="Times New Roman" w:hAnsi="Times New Roman" w:cs="Times New Roman"/>
          <w:b/>
          <w:kern w:val="0"/>
          <w:sz w:val="44"/>
          <w:szCs w:val="44"/>
        </w:rPr>
        <w:t>ICH</w:t>
      </w:r>
      <w:r w:rsidR="00580D27" w:rsidRPr="00580D27">
        <w:rPr>
          <w:rFonts w:ascii="Times New Roman" w:hAnsi="Times New Roman" w:cs="Times New Roman"/>
          <w:b/>
          <w:kern w:val="0"/>
          <w:sz w:val="44"/>
          <w:szCs w:val="44"/>
        </w:rPr>
        <w:t>药物警戒相关二级指导原则研讨会</w:t>
      </w:r>
      <w:r w:rsidRPr="00580D27">
        <w:rPr>
          <w:rFonts w:ascii="Times New Roman" w:hAnsi="Times New Roman" w:cs="Times New Roman"/>
          <w:b/>
          <w:kern w:val="0"/>
          <w:sz w:val="44"/>
          <w:szCs w:val="44"/>
        </w:rPr>
        <w:t>的通知</w:t>
      </w:r>
    </w:p>
    <w:p w:rsidR="00F715DB" w:rsidRPr="00F715DB" w:rsidRDefault="00F715DB" w:rsidP="00DF16C4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3A1F34" w:rsidRDefault="00445CA1" w:rsidP="00DF16C4">
      <w:pPr>
        <w:widowControl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各有关</w:t>
      </w:r>
      <w:r w:rsidR="001C3532" w:rsidRPr="001C35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单位</w:t>
      </w:r>
      <w:r w:rsidR="001C35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p w:rsidR="00A85B0A" w:rsidRDefault="00E4148F" w:rsidP="00DF16C4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国家食品药品监督管理总局</w:t>
      </w:r>
      <w:r w:rsid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发布</w:t>
      </w:r>
      <w:r w:rsidR="003A1F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3A1F34" w:rsidRPr="003A1F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关于适用国际人用药品注册技术协调会二级指导原则的公告（</w:t>
      </w:r>
      <w:r w:rsidR="003A1F34" w:rsidRPr="003A1F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2018</w:t>
      </w:r>
      <w:r w:rsidR="003A1F34" w:rsidRPr="003A1F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="003A1F34" w:rsidRPr="003A1F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3A1F34" w:rsidRPr="003A1F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="003A1F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</w:t>
      </w:r>
      <w:r w:rsid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（以下称</w:t>
      </w:r>
      <w:r w:rsidR="001C40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公告</w:t>
      </w:r>
      <w:r w:rsidR="001C40C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对于</w:t>
      </w:r>
      <w:r w:rsidR="00580D27" w:rsidRP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化学药品注册分类</w:t>
      </w:r>
      <w:r w:rsidR="00580D27" w:rsidRP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580D27" w:rsidRP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类、</w:t>
      </w:r>
      <w:r w:rsidR="00580D27" w:rsidRP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5.1</w:t>
      </w:r>
      <w:r w:rsidR="00580D27" w:rsidRP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类以及治疗用生物制品</w:t>
      </w:r>
      <w:r w:rsidR="00580D27" w:rsidRP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580D27" w:rsidRP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类和预防用生物制品</w:t>
      </w:r>
      <w:r w:rsidR="00580D27" w:rsidRP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580D27" w:rsidRP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类注册申请</w:t>
      </w:r>
      <w:r w:rsidR="00947CA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决定适用《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M4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：人用药物注册申请通用技术文档（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CTD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）》</w:t>
      </w:r>
      <w:r w:rsidR="000151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E2A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：临床安全数据的管理：快速报告的定义和标准》</w:t>
      </w:r>
      <w:r w:rsidR="000151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E2D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：上市后安全数据的管理：快速报告的定义和标准》</w:t>
      </w:r>
      <w:r w:rsidR="000151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M1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：监管活动医学词典（</w:t>
      </w:r>
      <w:proofErr w:type="spellStart"/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MedDRA</w:t>
      </w:r>
      <w:proofErr w:type="spellEnd"/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）》和《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E2B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R3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）：临床安全数据的管理：个例安全报告传输的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数据元素》五个国际人用药品注册技术协调会（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ICH</w:t>
      </w:r>
      <w:r w:rsidR="000B3AE8" w:rsidRP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）二级指导原则</w:t>
      </w:r>
      <w:r w:rsid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32294" w:rsidRDefault="00E4148F" w:rsidP="00D508D5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为了</w:t>
      </w:r>
      <w:r w:rsidR="00A85B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更好地</w:t>
      </w:r>
      <w:r w:rsidR="003A1F3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落实</w:t>
      </w:r>
      <w:r w:rsidR="00A85B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公告</w:t>
      </w:r>
      <w:r w:rsidR="000B3AE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要求，</w:t>
      </w:r>
      <w:r w:rsidR="008224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提高</w:t>
      </w:r>
      <w:r w:rsidR="00947CA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创新医药企业及创新研发服务组织等机构</w:t>
      </w:r>
      <w:r w:rsidR="00A85B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</w:t>
      </w:r>
      <w:r w:rsidR="00A85B0A" w:rsidRPr="00A85B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ICH</w:t>
      </w:r>
      <w:r w:rsidR="00A85B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相关二级指导原则和药物</w:t>
      </w:r>
      <w:r w:rsidR="00A85B0A" w:rsidRPr="00A85B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警戒</w:t>
      </w:r>
      <w:r w:rsidR="00A85B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工作重要性的理解</w:t>
      </w:r>
      <w:r w:rsidR="008224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和认识</w:t>
      </w:r>
      <w:r w:rsidR="00A85B0A" w:rsidRPr="00A85B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中国医药创新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促</w:t>
      </w:r>
      <w:r w:rsidR="00580D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</w:t>
      </w:r>
      <w:r w:rsidR="008224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会定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于</w:t>
      </w:r>
      <w:r w:rsidRPr="001C40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2018</w:t>
      </w:r>
      <w:r w:rsidRPr="001C40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年</w:t>
      </w:r>
      <w:r w:rsidRPr="001C40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3</w:t>
      </w:r>
      <w:r w:rsidRPr="001C40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月</w:t>
      </w:r>
      <w:r w:rsidR="00800483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17</w:t>
      </w:r>
      <w:r w:rsidRPr="001C40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日在北京举办“</w:t>
      </w:r>
      <w:r w:rsidRPr="001C40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ICH</w:t>
      </w:r>
      <w:r w:rsidR="00580D27" w:rsidRPr="001C40CD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药物警戒相关二级指导原则研讨会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”。</w:t>
      </w:r>
      <w:r w:rsidR="00A85B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本次研讨会重点围绕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ICH</w:t>
      </w:r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相关二级指导原则</w:t>
      </w:r>
      <w:r w:rsidR="008224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基本框架与实践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3322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邀请</w:t>
      </w:r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了</w:t>
      </w:r>
      <w:r w:rsidR="008E3F27" w:rsidRPr="008E3F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国家食品药品监督管理总局相关部门领导</w:t>
      </w:r>
      <w:r w:rsidR="003322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8224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业界具有丰富实践经验的</w:t>
      </w:r>
      <w:r w:rsidR="003322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专家</w:t>
      </w:r>
      <w:r w:rsidR="0082249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3322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药物</w:t>
      </w:r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安全性数据报送和药物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警戒</w:t>
      </w:r>
      <w:r w:rsidR="003322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工作的要求、药物警戒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体系</w:t>
      </w:r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构建以及</w:t>
      </w:r>
      <w:r w:rsidR="003322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医药企业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责任义务</w:t>
      </w:r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</w:t>
      </w:r>
      <w:r w:rsidR="005260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进行解读和分享</w:t>
      </w:r>
      <w:r w:rsidR="005260F3" w:rsidRPr="005260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947CA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以促进相关</w:t>
      </w:r>
      <w:proofErr w:type="spellStart"/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ICH</w:t>
      </w:r>
      <w:proofErr w:type="spellEnd"/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二级指导原则</w:t>
      </w:r>
      <w:r w:rsidR="00947CA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在中国的顺利</w:t>
      </w:r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实施</w:t>
      </w:r>
      <w:r w:rsidR="00947CA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，并推动我国药物警戒工作和创新药物研发</w:t>
      </w:r>
      <w:r w:rsidR="0080048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跃上新台阶</w:t>
      </w:r>
      <w:r w:rsidRPr="00E4148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FB553C" w:rsidRPr="00F370FD">
        <w:rPr>
          <w:rFonts w:ascii="Times New Roman" w:eastAsia="仿宋_GB2312" w:hAnsi="Times New Roman" w:cs="Times New Roman"/>
          <w:kern w:val="0"/>
          <w:sz w:val="32"/>
          <w:szCs w:val="32"/>
        </w:rPr>
        <w:t>现将</w:t>
      </w:r>
      <w:r w:rsidR="005260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会议</w:t>
      </w:r>
      <w:r w:rsidR="00FB553C" w:rsidRPr="00F370FD">
        <w:rPr>
          <w:rFonts w:ascii="Times New Roman" w:eastAsia="仿宋_GB2312" w:hAnsi="Times New Roman" w:cs="Times New Roman"/>
          <w:kern w:val="0"/>
          <w:sz w:val="32"/>
          <w:szCs w:val="32"/>
        </w:rPr>
        <w:t>有关事宜通知如下：</w:t>
      </w:r>
    </w:p>
    <w:p w:rsidR="003643DF" w:rsidRPr="000151BC" w:rsidRDefault="000151BC" w:rsidP="000151B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一、</w:t>
      </w:r>
      <w:r w:rsidR="003643DF" w:rsidRPr="000151BC">
        <w:rPr>
          <w:rFonts w:ascii="Times New Roman" w:eastAsia="仿宋_GB2312" w:hAnsi="Times New Roman" w:hint="eastAsia"/>
          <w:b/>
          <w:kern w:val="0"/>
          <w:sz w:val="32"/>
          <w:szCs w:val="32"/>
        </w:rPr>
        <w:t>会议</w:t>
      </w:r>
      <w:r w:rsidR="006239F0">
        <w:rPr>
          <w:rFonts w:ascii="Times New Roman" w:eastAsia="仿宋_GB2312" w:hAnsi="Times New Roman" w:hint="eastAsia"/>
          <w:b/>
          <w:kern w:val="0"/>
          <w:sz w:val="32"/>
          <w:szCs w:val="32"/>
        </w:rPr>
        <w:t>主办方</w:t>
      </w:r>
    </w:p>
    <w:p w:rsidR="003643DF" w:rsidRPr="003643DF" w:rsidRDefault="007F50F8" w:rsidP="003643DF">
      <w:pPr>
        <w:pStyle w:val="a4"/>
        <w:widowControl/>
        <w:overflowPunct w:val="0"/>
        <w:autoSpaceDE w:val="0"/>
        <w:autoSpaceDN w:val="0"/>
        <w:adjustRightInd w:val="0"/>
        <w:ind w:left="720" w:firstLineChars="0" w:firstLine="0"/>
        <w:textAlignment w:val="baseline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F370FD">
        <w:rPr>
          <w:rFonts w:ascii="Times New Roman" w:eastAsia="仿宋_GB2312" w:hAnsi="Times New Roman"/>
          <w:kern w:val="0"/>
          <w:sz w:val="32"/>
          <w:szCs w:val="32"/>
        </w:rPr>
        <w:t>中国医药创新促进会</w:t>
      </w:r>
    </w:p>
    <w:p w:rsidR="00FB553C" w:rsidRPr="00332294" w:rsidRDefault="003643DF" w:rsidP="00332294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二、</w:t>
      </w:r>
      <w:r w:rsidR="00FB553C" w:rsidRPr="001301B0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会议时间及地点</w:t>
      </w:r>
    </w:p>
    <w:p w:rsidR="00FB553C" w:rsidRPr="00F370FD" w:rsidRDefault="00FB553C" w:rsidP="00F370FD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370FD">
        <w:rPr>
          <w:rFonts w:ascii="Times New Roman" w:eastAsia="仿宋_GB2312" w:hAnsi="Times New Roman" w:cs="Times New Roman"/>
          <w:kern w:val="0"/>
          <w:sz w:val="32"/>
          <w:szCs w:val="32"/>
        </w:rPr>
        <w:t>会议时间：</w:t>
      </w:r>
      <w:r w:rsidR="00CD2B47"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 w:rsidRPr="00F370FD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CD2B47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F370FD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800483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F370FD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81664F" w:rsidRPr="00F370FD">
        <w:rPr>
          <w:rFonts w:ascii="Times New Roman" w:eastAsia="仿宋_GB2312" w:hAnsi="Times New Roman" w:cs="Times New Roman"/>
          <w:kern w:val="0"/>
          <w:sz w:val="32"/>
          <w:szCs w:val="32"/>
        </w:rPr>
        <w:t>全天</w:t>
      </w:r>
    </w:p>
    <w:p w:rsidR="0016738F" w:rsidRDefault="0016738F" w:rsidP="00F370FD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87BF3">
        <w:rPr>
          <w:rFonts w:ascii="Times New Roman" w:eastAsia="仿宋_GB2312" w:hAnsi="Times New Roman" w:cs="Times New Roman"/>
          <w:kern w:val="0"/>
          <w:sz w:val="32"/>
          <w:szCs w:val="32"/>
        </w:rPr>
        <w:t>会议地</w:t>
      </w:r>
      <w:r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址</w:t>
      </w:r>
      <w:r w:rsidR="00FB553C" w:rsidRPr="00E87BF3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="00E87BF3"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北京新疆大厦贵宾楼</w:t>
      </w:r>
      <w:r w:rsidR="00E87BF3"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87BF3"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层木卡</w:t>
      </w:r>
      <w:proofErr w:type="gramStart"/>
      <w:r w:rsidR="00E87BF3"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姆</w:t>
      </w:r>
      <w:proofErr w:type="gramEnd"/>
      <w:r w:rsidR="00E87BF3"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厅</w:t>
      </w:r>
      <w:r w:rsid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87BF3"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北京市海淀区三里河路</w:t>
      </w:r>
      <w:r w:rsidR="00E87BF3"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E87BF3"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E87BF3" w:rsidRP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新疆驻京办事处院内</w:t>
      </w:r>
      <w:r w:rsidR="00E87BF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</w:p>
    <w:p w:rsidR="0060324E" w:rsidRDefault="00332294" w:rsidP="00332294">
      <w:pPr>
        <w:widowControl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三</w:t>
      </w:r>
      <w:r w:rsidR="00181A8F" w:rsidRPr="00474467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、</w:t>
      </w:r>
      <w:r w:rsidR="002977E0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注册事宜</w:t>
      </w:r>
    </w:p>
    <w:p w:rsidR="004846D2" w:rsidRPr="002977E0" w:rsidRDefault="00CD2B47" w:rsidP="002977E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6055E">
        <w:rPr>
          <w:rFonts w:ascii="Times New Roman" w:eastAsia="仿宋_GB2312" w:hAnsi="Times New Roman" w:cs="Times New Roman"/>
          <w:sz w:val="32"/>
          <w:szCs w:val="32"/>
        </w:rPr>
        <w:t>注册</w:t>
      </w:r>
      <w:r w:rsidR="003643DF" w:rsidRPr="00D6055E">
        <w:rPr>
          <w:rFonts w:ascii="Times New Roman" w:eastAsia="仿宋_GB2312" w:hAnsi="Times New Roman" w:cs="Times New Roman"/>
          <w:sz w:val="32"/>
          <w:szCs w:val="32"/>
        </w:rPr>
        <w:t>费</w:t>
      </w:r>
      <w:r w:rsidR="00510A10" w:rsidRPr="00D6055E">
        <w:rPr>
          <w:rFonts w:ascii="Times New Roman" w:eastAsia="仿宋_GB2312" w:hAnsi="Times New Roman" w:cs="Times New Roman"/>
          <w:sz w:val="32"/>
          <w:szCs w:val="32"/>
        </w:rPr>
        <w:t>：人民币</w:t>
      </w:r>
      <w:r w:rsidR="00731AF5">
        <w:rPr>
          <w:rFonts w:ascii="Times New Roman" w:eastAsia="仿宋_GB2312" w:hAnsi="Times New Roman" w:cs="Times New Roman"/>
          <w:sz w:val="32"/>
          <w:szCs w:val="32"/>
        </w:rPr>
        <w:t>1</w:t>
      </w:r>
      <w:r w:rsidR="00731AF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DA5397" w:rsidRPr="00D6055E">
        <w:rPr>
          <w:rFonts w:ascii="Times New Roman" w:eastAsia="仿宋_GB2312" w:hAnsi="Times New Roman" w:cs="Times New Roman"/>
          <w:sz w:val="32"/>
          <w:szCs w:val="32"/>
        </w:rPr>
        <w:t>00</w:t>
      </w:r>
      <w:r w:rsidR="00510A10" w:rsidRPr="00D6055E">
        <w:rPr>
          <w:rFonts w:ascii="Times New Roman" w:eastAsia="仿宋_GB2312" w:hAnsi="Times New Roman" w:cs="Times New Roman"/>
          <w:sz w:val="32"/>
          <w:szCs w:val="32"/>
        </w:rPr>
        <w:t>元</w:t>
      </w:r>
      <w:r w:rsidR="00510A10" w:rsidRPr="00D6055E">
        <w:rPr>
          <w:rFonts w:ascii="Times New Roman" w:eastAsia="仿宋_GB2312" w:hAnsi="Times New Roman" w:cs="Times New Roman"/>
          <w:sz w:val="32"/>
          <w:szCs w:val="32"/>
        </w:rPr>
        <w:t>/</w:t>
      </w:r>
      <w:r w:rsidR="00510A10" w:rsidRPr="00D6055E">
        <w:rPr>
          <w:rFonts w:ascii="Times New Roman" w:eastAsia="仿宋_GB2312" w:hAnsi="Times New Roman" w:cs="Times New Roman"/>
          <w:sz w:val="32"/>
          <w:szCs w:val="32"/>
        </w:rPr>
        <w:t>人</w:t>
      </w:r>
      <w:r w:rsidR="0060324E" w:rsidRPr="00D6055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87BF3" w:rsidRDefault="00E87BF3" w:rsidP="00D6055E">
      <w:pPr>
        <w:ind w:firstLineChars="200" w:firstLine="640"/>
      </w:pPr>
      <w:r w:rsidRPr="00D6055E">
        <w:rPr>
          <w:rFonts w:ascii="Times New Roman" w:eastAsia="仿宋_GB2312" w:hAnsi="Times New Roman" w:cs="Times New Roman"/>
          <w:sz w:val="32"/>
          <w:szCs w:val="32"/>
        </w:rPr>
        <w:lastRenderedPageBreak/>
        <w:t>注：注册费包含会议材料和工作午餐，其他费用自理。</w:t>
      </w:r>
      <w:r w:rsidR="00D6055E" w:rsidRPr="00D6055E">
        <w:rPr>
          <w:rFonts w:ascii="Times New Roman" w:eastAsia="仿宋_GB2312" w:hAnsi="Times New Roman" w:cs="Times New Roman"/>
          <w:sz w:val="32"/>
          <w:szCs w:val="32"/>
        </w:rPr>
        <w:t>如需预订房间，请联系任经理</w:t>
      </w:r>
      <w:r w:rsidRPr="00D6055E">
        <w:rPr>
          <w:rFonts w:ascii="Times New Roman" w:eastAsia="仿宋_GB2312" w:hAnsi="Times New Roman" w:cs="Times New Roman"/>
          <w:sz w:val="32"/>
          <w:szCs w:val="32"/>
        </w:rPr>
        <w:t>13426134530</w:t>
      </w:r>
      <w:r w:rsidR="00D6055E" w:rsidRPr="00D6055E">
        <w:rPr>
          <w:rFonts w:ascii="Times New Roman" w:eastAsia="仿宋_GB2312" w:hAnsi="Times New Roman" w:cs="Times New Roman"/>
          <w:sz w:val="32"/>
          <w:szCs w:val="32"/>
        </w:rPr>
        <w:t>，报主办方名称</w:t>
      </w:r>
      <w:r w:rsidRPr="00D6055E">
        <w:rPr>
          <w:rFonts w:ascii="Times New Roman" w:eastAsia="仿宋_GB2312" w:hAnsi="Times New Roman" w:cs="Times New Roman"/>
          <w:sz w:val="32"/>
          <w:szCs w:val="32"/>
        </w:rPr>
        <w:t>可享受协议价：</w:t>
      </w:r>
      <w:r w:rsidRPr="00D6055E">
        <w:rPr>
          <w:rFonts w:ascii="Times New Roman" w:eastAsia="仿宋_GB2312" w:hAnsi="Times New Roman" w:cs="Times New Roman"/>
          <w:sz w:val="32"/>
          <w:szCs w:val="32"/>
        </w:rPr>
        <w:t>650</w:t>
      </w:r>
      <w:r w:rsidRPr="00D6055E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D6055E">
        <w:rPr>
          <w:rFonts w:ascii="Times New Roman" w:eastAsia="仿宋_GB2312" w:hAnsi="Times New Roman" w:cs="Times New Roman"/>
          <w:sz w:val="32"/>
          <w:szCs w:val="32"/>
        </w:rPr>
        <w:t>/</w:t>
      </w:r>
      <w:r w:rsidRPr="00D6055E">
        <w:rPr>
          <w:rFonts w:ascii="Times New Roman" w:eastAsia="仿宋_GB2312" w:hAnsi="Times New Roman" w:cs="Times New Roman"/>
          <w:sz w:val="32"/>
          <w:szCs w:val="32"/>
        </w:rPr>
        <w:t>晚</w:t>
      </w:r>
      <w:r w:rsidR="00D6055E" w:rsidRPr="00D6055E">
        <w:rPr>
          <w:rFonts w:ascii="Times New Roman" w:eastAsia="仿宋_GB2312" w:hAnsi="Times New Roman" w:cs="Times New Roman"/>
          <w:sz w:val="32"/>
          <w:szCs w:val="32"/>
        </w:rPr>
        <w:t>（含早）</w:t>
      </w:r>
      <w:r w:rsidRPr="00D6055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0324E" w:rsidRPr="00474467" w:rsidRDefault="0060324E" w:rsidP="0060324E">
      <w:pPr>
        <w:widowControl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四、付款方式</w:t>
      </w:r>
    </w:p>
    <w:p w:rsidR="0060324E" w:rsidRDefault="00E7761B" w:rsidP="0060324E">
      <w:pPr>
        <w:widowControl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（一）</w:t>
      </w:r>
      <w:r w:rsidR="0060324E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银行汇款</w:t>
      </w:r>
    </w:p>
    <w:p w:rsidR="0060324E" w:rsidRPr="00DF16C4" w:rsidRDefault="0060324E" w:rsidP="0060324E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F16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开户名称：中国医药创新促进会</w:t>
      </w:r>
    </w:p>
    <w:p w:rsidR="0060324E" w:rsidRPr="00DF16C4" w:rsidRDefault="0060324E" w:rsidP="0060324E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F16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开户银行：中国工商银行北京香河园支行</w:t>
      </w:r>
    </w:p>
    <w:p w:rsidR="0060324E" w:rsidRPr="00DF16C4" w:rsidRDefault="0060324E" w:rsidP="0060324E">
      <w:pPr>
        <w:autoSpaceDE w:val="0"/>
        <w:autoSpaceDN w:val="0"/>
        <w:adjustRightInd w:val="0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F16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银行账号：</w:t>
      </w:r>
      <w:r w:rsidRPr="00DF16C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0200 0191 0901 4436 394</w:t>
      </w:r>
    </w:p>
    <w:p w:rsidR="00E7761B" w:rsidRPr="00A37448" w:rsidRDefault="00E7761B" w:rsidP="00FA3496">
      <w:pPr>
        <w:widowControl/>
        <w:ind w:firstLineChars="200" w:firstLine="643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E7761B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注：</w:t>
      </w:r>
      <w:r w:rsidR="002977E0" w:rsidRPr="002977E0">
        <w:rPr>
          <w:rFonts w:ascii="Times New Roman" w:eastAsia="仿宋_GB2312" w:hAnsi="Times New Roman" w:cs="Times New Roman" w:hint="eastAsia"/>
          <w:b/>
          <w:sz w:val="32"/>
          <w:szCs w:val="32"/>
        </w:rPr>
        <w:t>汇款截止日期</w:t>
      </w:r>
      <w:r w:rsidR="002977E0" w:rsidRPr="002977E0">
        <w:rPr>
          <w:rFonts w:ascii="Times New Roman" w:eastAsia="仿宋_GB2312" w:hAnsi="Times New Roman" w:cs="Times New Roman" w:hint="eastAsia"/>
          <w:b/>
          <w:sz w:val="32"/>
          <w:szCs w:val="32"/>
        </w:rPr>
        <w:t>2018</w:t>
      </w:r>
      <w:r w:rsidR="002977E0" w:rsidRPr="002977E0">
        <w:rPr>
          <w:rFonts w:ascii="Times New Roman" w:eastAsia="仿宋_GB2312" w:hAnsi="Times New Roman" w:cs="Times New Roman" w:hint="eastAsia"/>
          <w:b/>
          <w:sz w:val="32"/>
          <w:szCs w:val="32"/>
        </w:rPr>
        <w:t>年</w:t>
      </w:r>
      <w:r w:rsidR="002977E0" w:rsidRPr="002977E0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="002977E0" w:rsidRPr="002977E0">
        <w:rPr>
          <w:rFonts w:ascii="Times New Roman" w:eastAsia="仿宋_GB2312" w:hAnsi="Times New Roman" w:cs="Times New Roman" w:hint="eastAsia"/>
          <w:b/>
          <w:sz w:val="32"/>
          <w:szCs w:val="32"/>
        </w:rPr>
        <w:t>月</w:t>
      </w:r>
      <w:r w:rsidR="002977E0" w:rsidRPr="002977E0">
        <w:rPr>
          <w:rFonts w:ascii="Times New Roman" w:eastAsia="仿宋_GB2312" w:hAnsi="Times New Roman" w:cs="Times New Roman" w:hint="eastAsia"/>
          <w:b/>
          <w:sz w:val="32"/>
          <w:szCs w:val="32"/>
        </w:rPr>
        <w:t>15</w:t>
      </w:r>
      <w:r w:rsidR="002977E0" w:rsidRPr="002977E0">
        <w:rPr>
          <w:rFonts w:ascii="Times New Roman" w:eastAsia="仿宋_GB2312" w:hAnsi="Times New Roman" w:cs="Times New Roman" w:hint="eastAsia"/>
          <w:b/>
          <w:sz w:val="32"/>
          <w:szCs w:val="32"/>
        </w:rPr>
        <w:t>日，</w:t>
      </w:r>
      <w:proofErr w:type="gramStart"/>
      <w:r w:rsidR="002977E0" w:rsidRPr="002977E0">
        <w:rPr>
          <w:rFonts w:ascii="Times New Roman" w:eastAsia="仿宋_GB2312" w:hAnsi="Times New Roman" w:cs="Times New Roman" w:hint="eastAsia"/>
          <w:b/>
          <w:sz w:val="32"/>
          <w:szCs w:val="32"/>
        </w:rPr>
        <w:t>逾期请</w:t>
      </w:r>
      <w:proofErr w:type="gramEnd"/>
      <w:r w:rsidR="002977E0" w:rsidRPr="002977E0">
        <w:rPr>
          <w:rFonts w:ascii="Times New Roman" w:eastAsia="仿宋_GB2312" w:hAnsi="Times New Roman" w:cs="Times New Roman" w:hint="eastAsia"/>
          <w:b/>
          <w:sz w:val="32"/>
          <w:szCs w:val="32"/>
        </w:rPr>
        <w:t>现场支付。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汇款成功后请将汇款凭证、参会人姓名、单位简称、联系方式、开票信息（抬头、税号</w:t>
      </w:r>
      <w:r w:rsidR="00FA3496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、快递地址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）以邮件形式发送至邮箱</w:t>
      </w:r>
      <w:r w:rsidR="00FA3496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wangyn@phirda.com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。</w:t>
      </w:r>
      <w:r w:rsidR="00494F3E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最终参会人信息以邮件收到的参会人姓名</w:t>
      </w:r>
      <w:r w:rsidR="00A37448"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为准。</w:t>
      </w:r>
    </w:p>
    <w:p w:rsidR="00474467" w:rsidRDefault="00A37448" w:rsidP="0060324E">
      <w:pPr>
        <w:widowControl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（二）</w:t>
      </w:r>
      <w:r w:rsidR="006239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现场支付</w:t>
      </w:r>
    </w:p>
    <w:p w:rsidR="006239F0" w:rsidRPr="0060324E" w:rsidRDefault="004846D2" w:rsidP="006239F0">
      <w:pPr>
        <w:widowControl/>
        <w:ind w:firstLineChars="200" w:firstLine="640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为了给您提供优质的注册体验，建议您选择银行汇款的支付方式。现场支付</w:t>
      </w:r>
      <w:r w:rsidR="006239F0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仅收取现金，不支持其他支付方式。</w:t>
      </w:r>
    </w:p>
    <w:p w:rsidR="00DF16C4" w:rsidRPr="006239F0" w:rsidRDefault="00DF16C4" w:rsidP="00A85642">
      <w:pPr>
        <w:widowControl/>
        <w:ind w:firstLine="645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A37448" w:rsidRDefault="005D4EF1" w:rsidP="00A85642">
      <w:pPr>
        <w:widowControl/>
        <w:ind w:firstLine="645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5D4EF1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会议联系人</w:t>
      </w:r>
      <w:r w:rsidRPr="005D4EF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鲁晓</w:t>
      </w:r>
      <w:proofErr w:type="gramStart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缇</w:t>
      </w:r>
      <w:proofErr w:type="gramEnd"/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010-58156353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</w:p>
    <w:p w:rsidR="004B0CD9" w:rsidRDefault="004B0CD9" w:rsidP="00A85642">
      <w:pPr>
        <w:widowControl/>
        <w:ind w:firstLine="645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5D4EF1" w:rsidRDefault="005D4EF1" w:rsidP="00A85642">
      <w:pPr>
        <w:widowControl/>
        <w:ind w:firstLine="645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汇款联系人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王亚男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010-58156160-835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</w:p>
    <w:p w:rsidR="005D4EF1" w:rsidRDefault="005D4EF1" w:rsidP="00A85642">
      <w:pPr>
        <w:widowControl/>
        <w:ind w:firstLine="645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赵圆圆（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010-58156160-836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）</w:t>
      </w:r>
    </w:p>
    <w:p w:rsidR="00FD493C" w:rsidRDefault="00DF16C4" w:rsidP="00434C04">
      <w:pPr>
        <w:widowControl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附件</w:t>
      </w:r>
      <w:r w:rsidR="00A85642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：会议日程</w:t>
      </w:r>
    </w:p>
    <w:p w:rsidR="00434C04" w:rsidRPr="00434C04" w:rsidRDefault="00434C04" w:rsidP="00434C04">
      <w:pPr>
        <w:widowControl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p w:rsidR="00FD493C" w:rsidRDefault="00FD493C" w:rsidP="00F370FD">
      <w:pPr>
        <w:widowControl/>
        <w:ind w:firstLineChars="200" w:firstLine="640"/>
        <w:rPr>
          <w:rFonts w:ascii="Times New Roman" w:eastAsia="仿宋_GB2312" w:hAnsi="Times New Roman" w:cs="Times New Roman"/>
          <w:bCs/>
          <w:color w:val="FF0000"/>
          <w:kern w:val="0"/>
          <w:sz w:val="32"/>
          <w:szCs w:val="32"/>
        </w:rPr>
      </w:pPr>
    </w:p>
    <w:p w:rsidR="004B0CD9" w:rsidRDefault="004B0CD9" w:rsidP="00F370FD">
      <w:pPr>
        <w:widowControl/>
        <w:ind w:firstLineChars="200" w:firstLine="640"/>
        <w:rPr>
          <w:rFonts w:ascii="Times New Roman" w:eastAsia="仿宋_GB2312" w:hAnsi="Times New Roman" w:cs="Times New Roman"/>
          <w:bCs/>
          <w:color w:val="FF0000"/>
          <w:kern w:val="0"/>
          <w:sz w:val="32"/>
          <w:szCs w:val="32"/>
        </w:rPr>
      </w:pPr>
    </w:p>
    <w:p w:rsidR="00FD493C" w:rsidRDefault="00FD493C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FD493C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二</w:t>
      </w:r>
      <w:r w:rsidRPr="00FD493C">
        <w:rPr>
          <w:rFonts w:ascii="宋体" w:hAnsi="宋体" w:cs="宋体" w:hint="eastAsia"/>
          <w:bCs/>
          <w:kern w:val="0"/>
          <w:sz w:val="32"/>
          <w:szCs w:val="32"/>
        </w:rPr>
        <w:t>〇</w:t>
      </w:r>
      <w:r w:rsidR="00332294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一八年二月</w:t>
      </w:r>
      <w:r w:rsidR="00DF16C4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二十七</w:t>
      </w:r>
      <w:r w:rsidRPr="00FD493C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日</w:t>
      </w: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4B0CD9" w:rsidRDefault="004B0CD9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AF4D62" w:rsidRPr="00AF4D62" w:rsidRDefault="00AF4D62" w:rsidP="00FD493C">
      <w:pPr>
        <w:widowControl/>
        <w:ind w:firstLineChars="200" w:firstLine="640"/>
        <w:jc w:val="right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</w:p>
    <w:p w:rsidR="00DF16C4" w:rsidRPr="00DF16C4" w:rsidRDefault="00DF16C4" w:rsidP="00DF16C4">
      <w:pPr>
        <w:rPr>
          <w:rFonts w:ascii="Times New Roman" w:hAnsi="Times New Roman" w:cs="Times New Roman"/>
          <w:kern w:val="0"/>
          <w:sz w:val="32"/>
          <w:szCs w:val="32"/>
        </w:rPr>
      </w:pPr>
      <w:r w:rsidRPr="00DF16C4">
        <w:rPr>
          <w:rFonts w:ascii="Times New Roman" w:eastAsia="黑体" w:hAnsi="Times New Roman" w:cs="Times New Roman"/>
          <w:b/>
          <w:kern w:val="0"/>
          <w:sz w:val="32"/>
          <w:szCs w:val="32"/>
        </w:rPr>
        <w:t>主题词：</w:t>
      </w:r>
      <w:r w:rsidR="008E716F">
        <w:rPr>
          <w:rFonts w:ascii="Times New Roman" w:hAnsi="Times New Roman" w:cs="Times New Roman" w:hint="eastAsia"/>
          <w:kern w:val="0"/>
          <w:sz w:val="30"/>
          <w:szCs w:val="30"/>
        </w:rPr>
        <w:t xml:space="preserve">ICH </w:t>
      </w:r>
      <w:r w:rsidR="006B7CCD">
        <w:rPr>
          <w:rFonts w:ascii="Times New Roman" w:hAnsi="Times New Roman" w:cs="Times New Roman" w:hint="eastAsia"/>
          <w:kern w:val="0"/>
          <w:sz w:val="30"/>
          <w:szCs w:val="30"/>
        </w:rPr>
        <w:t>研讨会</w:t>
      </w:r>
      <w:r w:rsidR="008E716F">
        <w:rPr>
          <w:rFonts w:ascii="Times New Roman" w:hAnsi="Times New Roman" w:cs="Times New Roman" w:hint="eastAsia"/>
          <w:kern w:val="0"/>
          <w:sz w:val="30"/>
          <w:szCs w:val="30"/>
        </w:rPr>
        <w:t xml:space="preserve"> </w:t>
      </w:r>
      <w:r w:rsidR="008E716F">
        <w:rPr>
          <w:rFonts w:ascii="Times New Roman" w:hAnsi="Times New Roman" w:cs="Times New Roman" w:hint="eastAsia"/>
          <w:kern w:val="0"/>
          <w:sz w:val="30"/>
          <w:szCs w:val="30"/>
        </w:rPr>
        <w:t>通知</w:t>
      </w:r>
    </w:p>
    <w:p w:rsidR="00DF16C4" w:rsidRPr="00DF16C4" w:rsidRDefault="00DF16C4" w:rsidP="00DF16C4">
      <w:pPr>
        <w:spacing w:line="3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F16C4">
        <w:rPr>
          <w:rFonts w:ascii="Times New Roman" w:eastAsia="仿宋_GB2312" w:hAnsi="Times New Roman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179DE" wp14:editId="733CE80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143500" cy="0"/>
                <wp:effectExtent l="5080" t="11430" r="1397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PS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"/>
            </w:pict>
          </mc:Fallback>
        </mc:AlternateContent>
      </w:r>
    </w:p>
    <w:p w:rsidR="00DF16C4" w:rsidRPr="00DF16C4" w:rsidRDefault="00DF16C4" w:rsidP="00DF16C4">
      <w:pPr>
        <w:rPr>
          <w:rFonts w:ascii="Times New Roman" w:eastAsia="仿宋_GB2312" w:hAnsi="Times New Roman" w:cs="Times New Roman"/>
          <w:sz w:val="32"/>
          <w:szCs w:val="32"/>
        </w:rPr>
      </w:pPr>
      <w:r w:rsidRPr="00DF16C4">
        <w:rPr>
          <w:rFonts w:ascii="Times New Roman" w:eastAsia="仿宋_GB2312" w:hAnsi="Times New Roman" w:cs="Times New Roman"/>
          <w:kern w:val="0"/>
          <w:sz w:val="32"/>
          <w:szCs w:val="32"/>
        </w:rPr>
        <w:t>主送：</w:t>
      </w:r>
      <w:r w:rsidR="00AC6C6F">
        <w:rPr>
          <w:rFonts w:ascii="Times New Roman" w:eastAsia="仿宋_GB2312" w:hAnsi="Times New Roman" w:cs="Times New Roman"/>
          <w:kern w:val="0"/>
          <w:sz w:val="32"/>
          <w:szCs w:val="32"/>
        </w:rPr>
        <w:t>各会员单位</w:t>
      </w:r>
      <w:r w:rsidRPr="00DF16C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F16C4" w:rsidRPr="00DF16C4" w:rsidRDefault="00DF16C4" w:rsidP="00DF16C4">
      <w:pPr>
        <w:rPr>
          <w:rFonts w:ascii="Times New Roman" w:eastAsia="仿宋_GB2312" w:hAnsi="Times New Roman" w:cs="Times New Roman"/>
          <w:sz w:val="32"/>
          <w:szCs w:val="32"/>
        </w:rPr>
      </w:pPr>
      <w:r w:rsidRPr="00DF16C4">
        <w:rPr>
          <w:rFonts w:ascii="Times New Roman" w:eastAsia="仿宋_GB2312" w:hAnsi="Times New Roman" w:cs="Times New Roman"/>
          <w:sz w:val="32"/>
          <w:szCs w:val="32"/>
        </w:rPr>
        <w:t>抄送</w:t>
      </w:r>
      <w:r w:rsidRPr="00DF16C4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DF16C4">
        <w:rPr>
          <w:rFonts w:ascii="Times New Roman" w:eastAsia="仿宋_GB2312" w:hAnsi="Times New Roman" w:cs="Times New Roman"/>
          <w:sz w:val="32"/>
          <w:szCs w:val="32"/>
        </w:rPr>
        <w:t>秘书处留档。</w:t>
      </w:r>
    </w:p>
    <w:p w:rsidR="00DF16C4" w:rsidRPr="00DF16C4" w:rsidRDefault="00DF16C4" w:rsidP="00DF16C4">
      <w:pPr>
        <w:spacing w:line="36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F16C4">
        <w:rPr>
          <w:rFonts w:ascii="Times New Roman" w:eastAsia="仿宋_GB2312" w:hAnsi="Times New Roman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E3F18" wp14:editId="0BE73A7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143500" cy="0"/>
                <wp:effectExtent l="5080" t="11430" r="13970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l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"/>
            </w:pict>
          </mc:Fallback>
        </mc:AlternateContent>
      </w:r>
    </w:p>
    <w:p w:rsidR="004834FD" w:rsidRDefault="00DF16C4" w:rsidP="00DF16C4">
      <w:pPr>
        <w:spacing w:line="36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4834FD" w:rsidSect="00667A5C">
          <w:footerReference w:type="default" r:id="rId9"/>
          <w:pgSz w:w="11907" w:h="16160"/>
          <w:pgMar w:top="1440" w:right="1800" w:bottom="1440" w:left="1800" w:header="851" w:footer="544" w:gutter="0"/>
          <w:cols w:space="720"/>
          <w:docGrid w:type="lines" w:linePitch="312"/>
        </w:sectPr>
      </w:pPr>
      <w:r w:rsidRPr="00DF16C4">
        <w:rPr>
          <w:rFonts w:ascii="Times New Roman" w:eastAsia="仿宋_GB2312" w:hAnsi="Times New Roman" w:cs="Times New Roman"/>
          <w:kern w:val="0"/>
          <w:sz w:val="32"/>
          <w:szCs w:val="32"/>
        </w:rPr>
        <w:t>中国药促会秘书处</w:t>
      </w:r>
      <w:r w:rsidRPr="00DF16C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</w:t>
      </w:r>
      <w:r w:rsidR="00AC6C6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DF16C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DF16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DF16C4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AC6C6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DF16C4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AC6C6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27</w:t>
      </w:r>
      <w:r w:rsidR="008E2FE5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F03C41">
        <w:rPr>
          <w:rFonts w:ascii="Times New Roman" w:eastAsia="仿宋_GB2312" w:hAnsi="Times New Roman" w:cs="Times New Roman"/>
          <w:kern w:val="0"/>
          <w:sz w:val="32"/>
          <w:szCs w:val="32"/>
        </w:rPr>
        <w:t>印</w:t>
      </w:r>
    </w:p>
    <w:p w:rsidR="00F03C41" w:rsidRPr="00F03C41" w:rsidRDefault="00F03C41" w:rsidP="00F03C41">
      <w:pPr>
        <w:spacing w:line="3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3C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附件：</w:t>
      </w:r>
    </w:p>
    <w:p w:rsidR="00F03C41" w:rsidRPr="00F03C41" w:rsidRDefault="00F03C41" w:rsidP="00F03C4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C41">
        <w:rPr>
          <w:rFonts w:ascii="Times New Roman" w:hAnsi="Times New Roman" w:cs="Times New Roman"/>
          <w:b/>
          <w:sz w:val="32"/>
          <w:szCs w:val="32"/>
        </w:rPr>
        <w:t>ICH</w:t>
      </w:r>
      <w:r w:rsidRPr="00F03C41">
        <w:rPr>
          <w:rFonts w:ascii="Times New Roman" w:hAnsi="Times New Roman" w:cs="Times New Roman"/>
          <w:b/>
          <w:sz w:val="32"/>
          <w:szCs w:val="32"/>
        </w:rPr>
        <w:t>药物警戒相关指</w:t>
      </w:r>
      <w:r w:rsidRPr="00F03C41">
        <w:rPr>
          <w:rFonts w:ascii="Times New Roman" w:hAnsi="Times New Roman" w:cs="Times New Roman" w:hint="eastAsia"/>
          <w:b/>
          <w:sz w:val="32"/>
          <w:szCs w:val="32"/>
        </w:rPr>
        <w:t>导原则研讨</w:t>
      </w:r>
      <w:r w:rsidRPr="00F03C41">
        <w:rPr>
          <w:rFonts w:ascii="Times New Roman" w:hAnsi="Times New Roman" w:cs="Times New Roman"/>
          <w:b/>
          <w:sz w:val="32"/>
          <w:szCs w:val="32"/>
        </w:rPr>
        <w:t>会日程</w:t>
      </w:r>
    </w:p>
    <w:p w:rsidR="00F03C41" w:rsidRPr="00F03C41" w:rsidRDefault="00F03C41" w:rsidP="00F03C41">
      <w:pPr>
        <w:spacing w:line="36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Style w:val="1"/>
        <w:tblW w:w="11057" w:type="dxa"/>
        <w:tblInd w:w="-1310" w:type="dxa"/>
        <w:tblLook w:val="04A0" w:firstRow="1" w:lastRow="0" w:firstColumn="1" w:lastColumn="0" w:noHBand="0" w:noVBand="1"/>
      </w:tblPr>
      <w:tblGrid>
        <w:gridCol w:w="1702"/>
        <w:gridCol w:w="5245"/>
        <w:gridCol w:w="4110"/>
      </w:tblGrid>
      <w:tr w:rsidR="00F03C41" w:rsidRPr="00F03C41" w:rsidTr="00EA47AC">
        <w:trPr>
          <w:trHeight w:val="405"/>
        </w:trPr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时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间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议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 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题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讲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 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者</w:t>
            </w:r>
          </w:p>
        </w:tc>
      </w:tr>
      <w:tr w:rsidR="00F03C41" w:rsidRPr="00F03C41" w:rsidTr="00EA47AC">
        <w:trPr>
          <w:trHeight w:val="328"/>
        </w:trPr>
        <w:tc>
          <w:tcPr>
            <w:tcW w:w="11057" w:type="dxa"/>
            <w:gridSpan w:val="3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主持人：中国药促会创新研发服务专委会主任委员谭凌实</w:t>
            </w:r>
          </w:p>
        </w:tc>
      </w:tr>
      <w:tr w:rsidR="00F03C41" w:rsidRPr="00F03C41" w:rsidTr="00EA47AC">
        <w:trPr>
          <w:trHeight w:val="692"/>
        </w:trPr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8:45-9:00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开幕致辞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063C97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相关领导</w:t>
            </w:r>
            <w:bookmarkStart w:id="1" w:name="_GoBack"/>
            <w:bookmarkEnd w:id="1"/>
          </w:p>
        </w:tc>
      </w:tr>
      <w:tr w:rsidR="00F03C41" w:rsidRPr="00F03C41" w:rsidTr="00EA47AC"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临床研究期间药品安全性数据管理要求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2" w:name="OLE_LINK2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CFDA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药品审评中心</w:t>
            </w:r>
            <w:bookmarkEnd w:id="2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相关专家</w:t>
            </w:r>
          </w:p>
        </w:tc>
      </w:tr>
      <w:tr w:rsidR="00F03C41" w:rsidRPr="00F03C41" w:rsidTr="00EA47AC"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我国上市后药物警戒的挑战和展望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CFDA</w:t>
            </w:r>
            <w:r w:rsidRPr="00F03C4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药品评价中心相关专家</w:t>
            </w:r>
          </w:p>
        </w:tc>
      </w:tr>
      <w:tr w:rsidR="00F03C41" w:rsidRPr="00F03C41" w:rsidTr="00EA47AC"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9355" w:type="dxa"/>
            <w:gridSpan w:val="2"/>
            <w:vAlign w:val="center"/>
          </w:tcPr>
          <w:p w:rsidR="00F03C41" w:rsidRPr="00F03C41" w:rsidRDefault="00F03C41" w:rsidP="00F03C4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茶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歇</w:t>
            </w:r>
          </w:p>
        </w:tc>
      </w:tr>
      <w:tr w:rsidR="00F03C41" w:rsidRPr="00F03C41" w:rsidTr="00EA47AC"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10:15-11:15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MedDRA</w:t>
            </w:r>
            <w:proofErr w:type="spellEnd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概述，编码规则及使用时的考虑（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M1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Anna Zhao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Deputy Director, </w:t>
            </w:r>
            <w:proofErr w:type="spellStart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MedDRA</w:t>
            </w:r>
            <w:proofErr w:type="spellEnd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MSSO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F03C41" w:rsidRPr="00F03C41" w:rsidTr="00EA47AC"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医药企业在药物警戒中的责任义务及如何构建企业药物警戒体系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梁冰（辉</w:t>
            </w:r>
            <w:proofErr w:type="gramStart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瑞中国</w:t>
            </w:r>
            <w:proofErr w:type="gramEnd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研究开发有限公司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安全监测及风险管理部门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高级总监）</w:t>
            </w:r>
          </w:p>
        </w:tc>
      </w:tr>
      <w:tr w:rsidR="00F03C41" w:rsidRPr="00F03C41" w:rsidTr="00EA47AC"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问答与讨论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所有报告人</w:t>
            </w:r>
          </w:p>
        </w:tc>
      </w:tr>
      <w:tr w:rsidR="00F03C41" w:rsidRPr="00F03C41" w:rsidTr="00EA47AC">
        <w:trPr>
          <w:trHeight w:val="487"/>
        </w:trPr>
        <w:tc>
          <w:tcPr>
            <w:tcW w:w="11057" w:type="dxa"/>
            <w:gridSpan w:val="3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午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   </w:t>
            </w: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餐</w:t>
            </w:r>
          </w:p>
        </w:tc>
      </w:tr>
      <w:tr w:rsidR="00F03C41" w:rsidRPr="00F03C41" w:rsidTr="00EA47AC">
        <w:trPr>
          <w:trHeight w:val="424"/>
        </w:trPr>
        <w:tc>
          <w:tcPr>
            <w:tcW w:w="11057" w:type="dxa"/>
            <w:gridSpan w:val="3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主持人：中国药促</w:t>
            </w:r>
            <w:proofErr w:type="gramStart"/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会药物</w:t>
            </w:r>
            <w:proofErr w:type="gramEnd"/>
            <w:r w:rsidRPr="00F03C41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研发专委会副主任委员张丹</w:t>
            </w:r>
          </w:p>
        </w:tc>
      </w:tr>
      <w:tr w:rsidR="00F03C41" w:rsidRPr="00F03C41" w:rsidTr="00EA47AC">
        <w:trPr>
          <w:trHeight w:val="292"/>
        </w:trPr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14:00-14:45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临床安全性数据管理的定义术语及快速报告的标准（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E2A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Merge w:val="restart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祝蓉（</w:t>
            </w:r>
            <w:proofErr w:type="gramStart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缔</w:t>
            </w:r>
            <w:proofErr w:type="gramEnd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脉生物医药科技有限公司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药物安全与药物警戒负责人）</w:t>
            </w:r>
          </w:p>
        </w:tc>
      </w:tr>
      <w:tr w:rsidR="00F03C41" w:rsidRPr="00F03C41" w:rsidTr="00EA47AC">
        <w:trPr>
          <w:trHeight w:val="292"/>
        </w:trPr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14:45-15:30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临床研究期间安全性数据管理的实践经验分享（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E2A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Merge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03C41" w:rsidRPr="00F03C41" w:rsidTr="00EA47AC">
        <w:trPr>
          <w:trHeight w:val="292"/>
        </w:trPr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15:30-16:15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spellStart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MedDRA</w:t>
            </w:r>
            <w:proofErr w:type="spellEnd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的数据检索策略及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SMQ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的应用（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M1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孟渊（强生中国区域药物安全负责人）</w:t>
            </w:r>
          </w:p>
        </w:tc>
      </w:tr>
      <w:tr w:rsidR="00F03C41" w:rsidRPr="00F03C41" w:rsidTr="00EA47AC">
        <w:trPr>
          <w:trHeight w:val="513"/>
        </w:trPr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16:15-17:00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个</w:t>
            </w:r>
            <w:proofErr w:type="gramEnd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例安全报告数据电子化传输的基本概念及数据元素（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E2B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马欢（辉</w:t>
            </w:r>
            <w:proofErr w:type="gramStart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瑞中国</w:t>
            </w:r>
            <w:proofErr w:type="gramEnd"/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研究开发有限公司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临床开发信息管理中国中心负责人）</w:t>
            </w:r>
          </w:p>
        </w:tc>
      </w:tr>
      <w:tr w:rsidR="00F03C41" w:rsidRPr="00F03C41" w:rsidTr="00EA47AC"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17:00-17:30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监管机构药物警戒报送系统搭建的经验（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E2B</w:t>
            </w: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Larry Li</w:t>
            </w:r>
          </w:p>
        </w:tc>
      </w:tr>
      <w:tr w:rsidR="00F03C41" w:rsidRPr="00F03C41" w:rsidTr="00EA47AC">
        <w:tc>
          <w:tcPr>
            <w:tcW w:w="1702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5245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问答与讨论</w:t>
            </w:r>
          </w:p>
        </w:tc>
        <w:tc>
          <w:tcPr>
            <w:tcW w:w="4110" w:type="dxa"/>
            <w:vAlign w:val="center"/>
          </w:tcPr>
          <w:p w:rsidR="00F03C41" w:rsidRPr="00F03C41" w:rsidRDefault="00F03C41" w:rsidP="00F03C41">
            <w:pPr>
              <w:spacing w:beforeLines="50" w:before="156" w:afterLines="50" w:after="156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03C41">
              <w:rPr>
                <w:rFonts w:ascii="Times New Roman" w:eastAsia="仿宋" w:hAnsi="Times New Roman" w:cs="Times New Roman"/>
                <w:sz w:val="24"/>
                <w:szCs w:val="24"/>
              </w:rPr>
              <w:t>所有报告人</w:t>
            </w:r>
          </w:p>
        </w:tc>
      </w:tr>
    </w:tbl>
    <w:p w:rsidR="009745A8" w:rsidRPr="009745A8" w:rsidRDefault="009745A8" w:rsidP="009745A8">
      <w:pPr>
        <w:spacing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9745A8" w:rsidRPr="0097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FC" w:rsidRDefault="00750AFC" w:rsidP="00FB553C">
      <w:r>
        <w:separator/>
      </w:r>
    </w:p>
  </w:endnote>
  <w:endnote w:type="continuationSeparator" w:id="0">
    <w:p w:rsidR="00750AFC" w:rsidRDefault="00750AFC" w:rsidP="00FB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823158"/>
      <w:docPartObj>
        <w:docPartGallery w:val="Page Numbers (Bottom of Page)"/>
        <w:docPartUnique/>
      </w:docPartObj>
    </w:sdtPr>
    <w:sdtEndPr/>
    <w:sdtContent>
      <w:p w:rsidR="008F2F08" w:rsidRDefault="008F2F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C97" w:rsidRPr="00063C97">
          <w:rPr>
            <w:noProof/>
            <w:lang w:val="zh-CN"/>
          </w:rPr>
          <w:t>5</w:t>
        </w:r>
        <w:r>
          <w:fldChar w:fldCharType="end"/>
        </w:r>
      </w:p>
    </w:sdtContent>
  </w:sdt>
  <w:p w:rsidR="007547BC" w:rsidRDefault="007547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FC" w:rsidRDefault="00750AFC" w:rsidP="00FB553C">
      <w:r>
        <w:separator/>
      </w:r>
    </w:p>
  </w:footnote>
  <w:footnote w:type="continuationSeparator" w:id="0">
    <w:p w:rsidR="00750AFC" w:rsidRDefault="00750AFC" w:rsidP="00FB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1BE4"/>
    <w:multiLevelType w:val="hybridMultilevel"/>
    <w:tmpl w:val="7B46C616"/>
    <w:lvl w:ilvl="0" w:tplc="3454FF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AC"/>
    <w:rsid w:val="0000617D"/>
    <w:rsid w:val="000151BC"/>
    <w:rsid w:val="000172F2"/>
    <w:rsid w:val="00026108"/>
    <w:rsid w:val="00035DAC"/>
    <w:rsid w:val="000440C1"/>
    <w:rsid w:val="0005234F"/>
    <w:rsid w:val="00063C97"/>
    <w:rsid w:val="0007137D"/>
    <w:rsid w:val="0007526A"/>
    <w:rsid w:val="00077A6B"/>
    <w:rsid w:val="000A2EA1"/>
    <w:rsid w:val="000B15AF"/>
    <w:rsid w:val="000B3AE8"/>
    <w:rsid w:val="001006BA"/>
    <w:rsid w:val="00107EFB"/>
    <w:rsid w:val="00116379"/>
    <w:rsid w:val="001301B0"/>
    <w:rsid w:val="00130EF9"/>
    <w:rsid w:val="00132ED8"/>
    <w:rsid w:val="00137202"/>
    <w:rsid w:val="001375C9"/>
    <w:rsid w:val="00140F4C"/>
    <w:rsid w:val="001447B0"/>
    <w:rsid w:val="0014769A"/>
    <w:rsid w:val="00154B2C"/>
    <w:rsid w:val="001553A8"/>
    <w:rsid w:val="0016738F"/>
    <w:rsid w:val="00181A8F"/>
    <w:rsid w:val="001836ED"/>
    <w:rsid w:val="00184ADF"/>
    <w:rsid w:val="001A2F17"/>
    <w:rsid w:val="001B4C1D"/>
    <w:rsid w:val="001B77F5"/>
    <w:rsid w:val="001C3532"/>
    <w:rsid w:val="001C40CD"/>
    <w:rsid w:val="001D487C"/>
    <w:rsid w:val="001D6129"/>
    <w:rsid w:val="001E470B"/>
    <w:rsid w:val="00206C05"/>
    <w:rsid w:val="00235B58"/>
    <w:rsid w:val="00241E5B"/>
    <w:rsid w:val="002472E5"/>
    <w:rsid w:val="00250E20"/>
    <w:rsid w:val="00286690"/>
    <w:rsid w:val="002869C5"/>
    <w:rsid w:val="002925BB"/>
    <w:rsid w:val="00297608"/>
    <w:rsid w:val="002977E0"/>
    <w:rsid w:val="002A28AB"/>
    <w:rsid w:val="002A2D84"/>
    <w:rsid w:val="002C195C"/>
    <w:rsid w:val="002D43FD"/>
    <w:rsid w:val="002F37C5"/>
    <w:rsid w:val="00331257"/>
    <w:rsid w:val="00332294"/>
    <w:rsid w:val="00333A0B"/>
    <w:rsid w:val="00341BC3"/>
    <w:rsid w:val="00351D55"/>
    <w:rsid w:val="003546E2"/>
    <w:rsid w:val="003643DF"/>
    <w:rsid w:val="003705FC"/>
    <w:rsid w:val="00387DAF"/>
    <w:rsid w:val="00391DD2"/>
    <w:rsid w:val="00394546"/>
    <w:rsid w:val="003A1F34"/>
    <w:rsid w:val="003B249A"/>
    <w:rsid w:val="003F5B9D"/>
    <w:rsid w:val="004206F2"/>
    <w:rsid w:val="00421708"/>
    <w:rsid w:val="00434C04"/>
    <w:rsid w:val="00441E8E"/>
    <w:rsid w:val="00442BE4"/>
    <w:rsid w:val="00445CA1"/>
    <w:rsid w:val="004478CF"/>
    <w:rsid w:val="004668A4"/>
    <w:rsid w:val="00474467"/>
    <w:rsid w:val="00474D15"/>
    <w:rsid w:val="004756AC"/>
    <w:rsid w:val="00480DC9"/>
    <w:rsid w:val="004834FD"/>
    <w:rsid w:val="004846D2"/>
    <w:rsid w:val="00494F3E"/>
    <w:rsid w:val="004A0CBD"/>
    <w:rsid w:val="004A497D"/>
    <w:rsid w:val="004A4B14"/>
    <w:rsid w:val="004B0CD9"/>
    <w:rsid w:val="004B1145"/>
    <w:rsid w:val="004D683C"/>
    <w:rsid w:val="004E09E6"/>
    <w:rsid w:val="004E15A5"/>
    <w:rsid w:val="004E5639"/>
    <w:rsid w:val="0050705A"/>
    <w:rsid w:val="00510A10"/>
    <w:rsid w:val="00516F66"/>
    <w:rsid w:val="005260F3"/>
    <w:rsid w:val="00526C86"/>
    <w:rsid w:val="00537FCF"/>
    <w:rsid w:val="005734A5"/>
    <w:rsid w:val="00580D27"/>
    <w:rsid w:val="005819BC"/>
    <w:rsid w:val="00581F1B"/>
    <w:rsid w:val="005841E1"/>
    <w:rsid w:val="00592E6E"/>
    <w:rsid w:val="005B1B00"/>
    <w:rsid w:val="005C0A62"/>
    <w:rsid w:val="005C4AF4"/>
    <w:rsid w:val="005D0625"/>
    <w:rsid w:val="005D4EF1"/>
    <w:rsid w:val="005D622C"/>
    <w:rsid w:val="005E27A4"/>
    <w:rsid w:val="005F6056"/>
    <w:rsid w:val="0060324E"/>
    <w:rsid w:val="00606E87"/>
    <w:rsid w:val="006160F4"/>
    <w:rsid w:val="006239F0"/>
    <w:rsid w:val="00623D65"/>
    <w:rsid w:val="00641F00"/>
    <w:rsid w:val="00643554"/>
    <w:rsid w:val="00667A5C"/>
    <w:rsid w:val="0067469A"/>
    <w:rsid w:val="00677C8D"/>
    <w:rsid w:val="006B04A2"/>
    <w:rsid w:val="006B52D2"/>
    <w:rsid w:val="006B7CCD"/>
    <w:rsid w:val="006C0FEC"/>
    <w:rsid w:val="006C6A1A"/>
    <w:rsid w:val="006D5F47"/>
    <w:rsid w:val="006E30AB"/>
    <w:rsid w:val="006E3896"/>
    <w:rsid w:val="006E3E83"/>
    <w:rsid w:val="006E49EA"/>
    <w:rsid w:val="006F44FB"/>
    <w:rsid w:val="00715A75"/>
    <w:rsid w:val="00726E65"/>
    <w:rsid w:val="00731AF5"/>
    <w:rsid w:val="0073546A"/>
    <w:rsid w:val="00750AFC"/>
    <w:rsid w:val="007547BC"/>
    <w:rsid w:val="007719FB"/>
    <w:rsid w:val="00780493"/>
    <w:rsid w:val="007900A6"/>
    <w:rsid w:val="00790F77"/>
    <w:rsid w:val="007C11CC"/>
    <w:rsid w:val="007D3761"/>
    <w:rsid w:val="007F4392"/>
    <w:rsid w:val="007F50F8"/>
    <w:rsid w:val="00800483"/>
    <w:rsid w:val="0081664F"/>
    <w:rsid w:val="00822490"/>
    <w:rsid w:val="0083640E"/>
    <w:rsid w:val="00875F32"/>
    <w:rsid w:val="00884585"/>
    <w:rsid w:val="00884DE1"/>
    <w:rsid w:val="0088694A"/>
    <w:rsid w:val="008E0712"/>
    <w:rsid w:val="008E2FE5"/>
    <w:rsid w:val="008E3F27"/>
    <w:rsid w:val="008E716F"/>
    <w:rsid w:val="008F2F08"/>
    <w:rsid w:val="008F326A"/>
    <w:rsid w:val="009204E9"/>
    <w:rsid w:val="009435DF"/>
    <w:rsid w:val="00946C23"/>
    <w:rsid w:val="00947CA4"/>
    <w:rsid w:val="0096161D"/>
    <w:rsid w:val="009745A8"/>
    <w:rsid w:val="009761C3"/>
    <w:rsid w:val="00986493"/>
    <w:rsid w:val="009938A8"/>
    <w:rsid w:val="009B51E3"/>
    <w:rsid w:val="009C212D"/>
    <w:rsid w:val="009C5BD3"/>
    <w:rsid w:val="009D4CF2"/>
    <w:rsid w:val="009E3396"/>
    <w:rsid w:val="009F4E50"/>
    <w:rsid w:val="00A265E4"/>
    <w:rsid w:val="00A2661A"/>
    <w:rsid w:val="00A37448"/>
    <w:rsid w:val="00A71174"/>
    <w:rsid w:val="00A73B4E"/>
    <w:rsid w:val="00A75B4C"/>
    <w:rsid w:val="00A80A39"/>
    <w:rsid w:val="00A82AF4"/>
    <w:rsid w:val="00A85642"/>
    <w:rsid w:val="00A85B0A"/>
    <w:rsid w:val="00AA0EE3"/>
    <w:rsid w:val="00AA1EBC"/>
    <w:rsid w:val="00AA6232"/>
    <w:rsid w:val="00AB582D"/>
    <w:rsid w:val="00AC6C6F"/>
    <w:rsid w:val="00AD5396"/>
    <w:rsid w:val="00AD5E80"/>
    <w:rsid w:val="00AD6B49"/>
    <w:rsid w:val="00AD6FB6"/>
    <w:rsid w:val="00AE47F7"/>
    <w:rsid w:val="00AF4D62"/>
    <w:rsid w:val="00B02D72"/>
    <w:rsid w:val="00B11BDB"/>
    <w:rsid w:val="00B17E6C"/>
    <w:rsid w:val="00B32DD1"/>
    <w:rsid w:val="00B73B9D"/>
    <w:rsid w:val="00BA2ADE"/>
    <w:rsid w:val="00BA30FF"/>
    <w:rsid w:val="00BF768A"/>
    <w:rsid w:val="00C153D9"/>
    <w:rsid w:val="00C15F9C"/>
    <w:rsid w:val="00C31B58"/>
    <w:rsid w:val="00C430CC"/>
    <w:rsid w:val="00C45DE5"/>
    <w:rsid w:val="00C7203D"/>
    <w:rsid w:val="00C80315"/>
    <w:rsid w:val="00C97806"/>
    <w:rsid w:val="00CB15C0"/>
    <w:rsid w:val="00CD2B47"/>
    <w:rsid w:val="00CE2531"/>
    <w:rsid w:val="00D034DE"/>
    <w:rsid w:val="00D508D5"/>
    <w:rsid w:val="00D6055E"/>
    <w:rsid w:val="00D60D6F"/>
    <w:rsid w:val="00D61862"/>
    <w:rsid w:val="00D76E86"/>
    <w:rsid w:val="00D8678F"/>
    <w:rsid w:val="00D973CB"/>
    <w:rsid w:val="00DA5397"/>
    <w:rsid w:val="00DC2A4F"/>
    <w:rsid w:val="00DD0F07"/>
    <w:rsid w:val="00DE52D6"/>
    <w:rsid w:val="00DF16C4"/>
    <w:rsid w:val="00DF3EB3"/>
    <w:rsid w:val="00E03F19"/>
    <w:rsid w:val="00E338B3"/>
    <w:rsid w:val="00E4148F"/>
    <w:rsid w:val="00E455F8"/>
    <w:rsid w:val="00E50E1F"/>
    <w:rsid w:val="00E60FB9"/>
    <w:rsid w:val="00E77299"/>
    <w:rsid w:val="00E7761B"/>
    <w:rsid w:val="00E81D47"/>
    <w:rsid w:val="00E87BF3"/>
    <w:rsid w:val="00E939EB"/>
    <w:rsid w:val="00EB3887"/>
    <w:rsid w:val="00EC3C16"/>
    <w:rsid w:val="00EE0A56"/>
    <w:rsid w:val="00EF4A7B"/>
    <w:rsid w:val="00EF76A6"/>
    <w:rsid w:val="00F03C41"/>
    <w:rsid w:val="00F05264"/>
    <w:rsid w:val="00F327D6"/>
    <w:rsid w:val="00F370FD"/>
    <w:rsid w:val="00F47872"/>
    <w:rsid w:val="00F61279"/>
    <w:rsid w:val="00F715DB"/>
    <w:rsid w:val="00F73845"/>
    <w:rsid w:val="00F8250A"/>
    <w:rsid w:val="00FA3496"/>
    <w:rsid w:val="00FB553C"/>
    <w:rsid w:val="00FD493C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A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A1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6C6A1A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"/>
    <w:uiPriority w:val="99"/>
    <w:unhideWhenUsed/>
    <w:rsid w:val="00FB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553C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553C"/>
    <w:rPr>
      <w:rFonts w:ascii="Calibri" w:eastAsia="宋体" w:hAnsi="Calibri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82AF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82AF4"/>
    <w:rPr>
      <w:rFonts w:ascii="Calibri" w:eastAsia="宋体" w:hAnsi="Calibri"/>
    </w:rPr>
  </w:style>
  <w:style w:type="paragraph" w:styleId="a8">
    <w:name w:val="Balloon Text"/>
    <w:basedOn w:val="a"/>
    <w:link w:val="Char2"/>
    <w:uiPriority w:val="99"/>
    <w:semiHidden/>
    <w:unhideWhenUsed/>
    <w:rsid w:val="007900A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900A6"/>
    <w:rPr>
      <w:rFonts w:ascii="Calibri" w:eastAsia="宋体" w:hAnsi="Calibri"/>
      <w:sz w:val="18"/>
      <w:szCs w:val="18"/>
    </w:rPr>
  </w:style>
  <w:style w:type="character" w:styleId="a9">
    <w:name w:val="Hyperlink"/>
    <w:basedOn w:val="a0"/>
    <w:uiPriority w:val="99"/>
    <w:unhideWhenUsed/>
    <w:rsid w:val="00A75B4C"/>
    <w:rPr>
      <w:color w:val="0000FF" w:themeColor="hyperlink"/>
      <w:u w:val="single"/>
    </w:rPr>
  </w:style>
  <w:style w:type="table" w:customStyle="1" w:styleId="1">
    <w:name w:val="网格型1"/>
    <w:basedOn w:val="a1"/>
    <w:next w:val="aa"/>
    <w:uiPriority w:val="39"/>
    <w:rsid w:val="002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a"/>
    <w:uiPriority w:val="59"/>
    <w:rsid w:val="00B11B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a"/>
    <w:uiPriority w:val="59"/>
    <w:rsid w:val="002C19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A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A1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6C6A1A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"/>
    <w:uiPriority w:val="99"/>
    <w:unhideWhenUsed/>
    <w:rsid w:val="00FB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553C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553C"/>
    <w:rPr>
      <w:rFonts w:ascii="Calibri" w:eastAsia="宋体" w:hAnsi="Calibri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82AF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82AF4"/>
    <w:rPr>
      <w:rFonts w:ascii="Calibri" w:eastAsia="宋体" w:hAnsi="Calibri"/>
    </w:rPr>
  </w:style>
  <w:style w:type="paragraph" w:styleId="a8">
    <w:name w:val="Balloon Text"/>
    <w:basedOn w:val="a"/>
    <w:link w:val="Char2"/>
    <w:uiPriority w:val="99"/>
    <w:semiHidden/>
    <w:unhideWhenUsed/>
    <w:rsid w:val="007900A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900A6"/>
    <w:rPr>
      <w:rFonts w:ascii="Calibri" w:eastAsia="宋体" w:hAnsi="Calibri"/>
      <w:sz w:val="18"/>
      <w:szCs w:val="18"/>
    </w:rPr>
  </w:style>
  <w:style w:type="character" w:styleId="a9">
    <w:name w:val="Hyperlink"/>
    <w:basedOn w:val="a0"/>
    <w:uiPriority w:val="99"/>
    <w:unhideWhenUsed/>
    <w:rsid w:val="00A75B4C"/>
    <w:rPr>
      <w:color w:val="0000FF" w:themeColor="hyperlink"/>
      <w:u w:val="single"/>
    </w:rPr>
  </w:style>
  <w:style w:type="table" w:customStyle="1" w:styleId="1">
    <w:name w:val="网格型1"/>
    <w:basedOn w:val="a1"/>
    <w:next w:val="aa"/>
    <w:uiPriority w:val="39"/>
    <w:rsid w:val="002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a"/>
    <w:uiPriority w:val="59"/>
    <w:rsid w:val="00B11B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a"/>
    <w:uiPriority w:val="59"/>
    <w:rsid w:val="002C19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5D86-E639-40EF-A1DE-4472BC03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24</cp:revision>
  <cp:lastPrinted>2018-02-27T07:33:00Z</cp:lastPrinted>
  <dcterms:created xsi:type="dcterms:W3CDTF">2018-02-27T02:19:00Z</dcterms:created>
  <dcterms:modified xsi:type="dcterms:W3CDTF">2018-02-28T01:49:00Z</dcterms:modified>
</cp:coreProperties>
</file>